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1C69" w14:textId="77777777" w:rsidR="00CD6D1C" w:rsidRPr="006056FC" w:rsidRDefault="00CD6D1C" w:rsidP="00CD6D1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rtl/>
        </w:rPr>
      </w:pPr>
      <w:r w:rsidRPr="006056FC">
        <w:rPr>
          <w:rFonts w:ascii="David" w:eastAsia="Times New Roman" w:hAnsi="David" w:cs="David"/>
          <w:noProof/>
        </w:rPr>
        <w:drawing>
          <wp:anchor distT="0" distB="0" distL="114300" distR="114300" simplePos="0" relativeHeight="251659264" behindDoc="1" locked="0" layoutInCell="1" allowOverlap="1" wp14:anchorId="3C3D5792" wp14:editId="18555FFF">
            <wp:simplePos x="0" y="0"/>
            <wp:positionH relativeFrom="column">
              <wp:posOffset>-342900</wp:posOffset>
            </wp:positionH>
            <wp:positionV relativeFrom="page">
              <wp:posOffset>342900</wp:posOffset>
            </wp:positionV>
            <wp:extent cx="1127125" cy="187912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oon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587" cy="1879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6FC">
        <w:rPr>
          <w:rFonts w:ascii="David" w:eastAsia="Times New Roman" w:hAnsi="David" w:cs="David"/>
          <w:rtl/>
        </w:rPr>
        <w:t xml:space="preserve">מרכז </w:t>
      </w:r>
      <w:r w:rsidRPr="006056FC">
        <w:rPr>
          <w:rFonts w:ascii="David" w:eastAsia="Times New Roman" w:hAnsi="David" w:cs="David"/>
        </w:rPr>
        <w:t>SEED</w:t>
      </w:r>
      <w:r w:rsidRPr="006056FC">
        <w:rPr>
          <w:rFonts w:ascii="David" w:eastAsia="Times New Roman" w:hAnsi="David" w:cs="David"/>
          <w:rtl/>
        </w:rPr>
        <w:t xml:space="preserve"> להתפתחות רגשית מוקדמת</w:t>
      </w:r>
    </w:p>
    <w:p w14:paraId="48F8AA15" w14:textId="77777777" w:rsidR="00CD6D1C" w:rsidRPr="006056FC" w:rsidRDefault="00CD6D1C" w:rsidP="00CD6D1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rtl/>
        </w:rPr>
      </w:pPr>
      <w:r w:rsidRPr="006056FC">
        <w:rPr>
          <w:rFonts w:ascii="David" w:eastAsia="Times New Roman" w:hAnsi="David" w:cs="David"/>
          <w:rtl/>
        </w:rPr>
        <w:t>בית הספר למדעי ההתנהגות</w:t>
      </w:r>
    </w:p>
    <w:p w14:paraId="06A1BB7A" w14:textId="79C43413" w:rsidR="00CD6D1C" w:rsidRDefault="00CD6D1C" w:rsidP="00CD6D1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rtl/>
        </w:rPr>
      </w:pPr>
      <w:r w:rsidRPr="006056FC">
        <w:rPr>
          <w:rFonts w:ascii="David" w:eastAsia="Times New Roman" w:hAnsi="David" w:cs="David"/>
          <w:rtl/>
        </w:rPr>
        <w:t>המכללה האקדמית תל אביב יפו</w:t>
      </w:r>
    </w:p>
    <w:p w14:paraId="770EB1DD" w14:textId="77777777" w:rsidR="006056FC" w:rsidRPr="006056FC" w:rsidRDefault="006056FC" w:rsidP="00CD6D1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rtl/>
        </w:rPr>
      </w:pPr>
    </w:p>
    <w:p w14:paraId="44656575" w14:textId="3D76C0D8" w:rsidR="00D730D6" w:rsidRPr="009A0655" w:rsidRDefault="00D730D6" w:rsidP="006056F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9A0655">
        <w:rPr>
          <w:rFonts w:ascii="David" w:eastAsia="Times New Roman" w:hAnsi="David" w:cs="David"/>
          <w:b/>
          <w:bCs/>
          <w:sz w:val="24"/>
          <w:szCs w:val="24"/>
          <w:rtl/>
        </w:rPr>
        <w:t>טיפול הורה-</w:t>
      </w:r>
      <w:r w:rsidR="006056FC">
        <w:rPr>
          <w:rFonts w:ascii="David" w:eastAsia="Times New Roman" w:hAnsi="David" w:cs="David" w:hint="cs"/>
          <w:b/>
          <w:bCs/>
          <w:sz w:val="24"/>
          <w:szCs w:val="24"/>
          <w:rtl/>
        </w:rPr>
        <w:t>ילד</w:t>
      </w:r>
      <w:r w:rsidRPr="009A0655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בגיל הרך</w:t>
      </w:r>
      <w:r>
        <w:rPr>
          <w:rFonts w:ascii="David" w:eastAsia="Times New Roman" w:hAnsi="David" w:cs="David"/>
          <w:b/>
          <w:bCs/>
          <w:sz w:val="24"/>
          <w:szCs w:val="24"/>
        </w:rPr>
        <w:t>:</w:t>
      </w:r>
    </w:p>
    <w:p w14:paraId="6CA959C4" w14:textId="2B42D8D7" w:rsidR="008A2511" w:rsidRPr="009A0655" w:rsidRDefault="00DE5271" w:rsidP="00D730D6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9A0655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היכרות עם </w:t>
      </w:r>
      <w:r w:rsidR="008A2511" w:rsidRPr="009A0655">
        <w:rPr>
          <w:rFonts w:ascii="David" w:eastAsia="Times New Roman" w:hAnsi="David" w:cs="David"/>
          <w:b/>
          <w:bCs/>
          <w:sz w:val="24"/>
          <w:szCs w:val="24"/>
          <w:rtl/>
        </w:rPr>
        <w:t>תפיסות תאורטיות ומושגים מרכזיים</w:t>
      </w:r>
    </w:p>
    <w:p w14:paraId="648AB2B8" w14:textId="3787B7F7" w:rsidR="00CD6D1C" w:rsidRPr="009E140F" w:rsidRDefault="00CD6D1C" w:rsidP="008A2511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E140F">
        <w:rPr>
          <w:rFonts w:ascii="David" w:eastAsia="Times New Roman" w:hAnsi="David" w:cs="David"/>
          <w:sz w:val="24"/>
          <w:szCs w:val="24"/>
          <w:rtl/>
        </w:rPr>
        <w:t>מרצה: קרן גולדברג</w:t>
      </w:r>
    </w:p>
    <w:p w14:paraId="37F73C26" w14:textId="77777777" w:rsidR="00CD6D1C" w:rsidRPr="009E140F" w:rsidRDefault="00CD6D1C" w:rsidP="00CD6D1C">
      <w:pPr>
        <w:spacing w:before="100" w:beforeAutospacing="1" w:after="100" w:afterAutospacing="1" w:line="276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9E140F">
        <w:rPr>
          <w:rFonts w:ascii="David" w:eastAsia="Times New Roman" w:hAnsi="David" w:cs="David"/>
          <w:sz w:val="24"/>
          <w:szCs w:val="24"/>
          <w:rtl/>
        </w:rPr>
        <w:t>היקף הקורס: 24 שעות אקדמיות</w:t>
      </w:r>
    </w:p>
    <w:p w14:paraId="22CB4896" w14:textId="77777777" w:rsidR="00CD6D1C" w:rsidRPr="009E140F" w:rsidRDefault="00CD6D1C" w:rsidP="00CD6D1C">
      <w:pPr>
        <w:spacing w:after="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8DF07F1" w14:textId="24419870" w:rsidR="006056FC" w:rsidRPr="009E140F" w:rsidRDefault="00CD6D1C" w:rsidP="00620B5B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E140F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תיאור </w:t>
      </w:r>
      <w:r w:rsidR="00D730D6">
        <w:rPr>
          <w:rFonts w:ascii="David" w:eastAsia="Times New Roman" w:hAnsi="David" w:cs="David" w:hint="cs"/>
          <w:b/>
          <w:bCs/>
          <w:sz w:val="24"/>
          <w:szCs w:val="24"/>
          <w:rtl/>
        </w:rPr>
        <w:t>ה</w:t>
      </w:r>
      <w:r w:rsidR="006056FC">
        <w:rPr>
          <w:rFonts w:ascii="David" w:eastAsia="Times New Roman" w:hAnsi="David" w:cs="David" w:hint="cs"/>
          <w:b/>
          <w:bCs/>
          <w:sz w:val="24"/>
          <w:szCs w:val="24"/>
          <w:rtl/>
        </w:rPr>
        <w:t>קורס</w:t>
      </w:r>
      <w:r w:rsidRPr="009E140F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4E450A43" w14:textId="367E1EA0" w:rsidR="00D730D6" w:rsidRPr="009E140F" w:rsidRDefault="006056FC" w:rsidP="00D730D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הקורס</w:t>
      </w:r>
      <w:r w:rsidR="008A2511" w:rsidRPr="009E140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8A2511" w:rsidRPr="009E140F">
        <w:rPr>
          <w:rFonts w:ascii="David" w:hAnsi="David" w:cs="David"/>
          <w:sz w:val="24"/>
          <w:szCs w:val="24"/>
          <w:rtl/>
        </w:rPr>
        <w:t xml:space="preserve">עסוק בעקרונות תאורטיים מרכזיים, העומדים בבסיס המודל הטיפולי אם-ילד, אב-ילד ע"פ המודל החיפאי (מרים בן אהרון ,1997). הטיפול מושתת על מודל 'מבוסס </w:t>
      </w:r>
      <w:proofErr w:type="spellStart"/>
      <w:r w:rsidR="008A2511" w:rsidRPr="009E140F">
        <w:rPr>
          <w:rFonts w:ascii="David" w:hAnsi="David" w:cs="David"/>
          <w:sz w:val="24"/>
          <w:szCs w:val="24"/>
          <w:rtl/>
        </w:rPr>
        <w:t>מנטליזציה</w:t>
      </w:r>
      <w:proofErr w:type="spellEnd"/>
      <w:r w:rsidR="008A2511" w:rsidRPr="009E140F">
        <w:rPr>
          <w:rFonts w:ascii="David" w:hAnsi="David" w:cs="David"/>
          <w:sz w:val="24"/>
          <w:szCs w:val="24"/>
          <w:rtl/>
        </w:rPr>
        <w:t>' (</w:t>
      </w:r>
      <w:r w:rsidR="008A2511" w:rsidRPr="009E140F">
        <w:rPr>
          <w:rFonts w:ascii="David" w:hAnsi="David" w:cs="David"/>
          <w:sz w:val="24"/>
          <w:szCs w:val="24"/>
        </w:rPr>
        <w:t>(Mentalization-Based</w:t>
      </w:r>
      <w:r w:rsidR="008A2511" w:rsidRPr="009E140F">
        <w:rPr>
          <w:rFonts w:ascii="David" w:hAnsi="David" w:cs="David"/>
          <w:sz w:val="24"/>
          <w:szCs w:val="24"/>
          <w:rtl/>
        </w:rPr>
        <w:t xml:space="preserve"> באוריינטציה פסיכואנליטית- </w:t>
      </w:r>
      <w:proofErr w:type="spellStart"/>
      <w:r w:rsidR="008A2511" w:rsidRPr="009E140F">
        <w:rPr>
          <w:rFonts w:ascii="David" w:hAnsi="David" w:cs="David"/>
          <w:sz w:val="24"/>
          <w:szCs w:val="24"/>
          <w:rtl/>
        </w:rPr>
        <w:t>התייחסותית</w:t>
      </w:r>
      <w:proofErr w:type="spellEnd"/>
      <w:r w:rsidR="008A2511" w:rsidRPr="009E140F">
        <w:rPr>
          <w:rFonts w:ascii="David" w:hAnsi="David" w:cs="David"/>
          <w:sz w:val="24"/>
          <w:szCs w:val="24"/>
          <w:rtl/>
        </w:rPr>
        <w:t xml:space="preserve">, לטיפול בהפרעות ביחסים בילדות. </w:t>
      </w:r>
      <w:r w:rsidR="00D730D6" w:rsidRPr="009E140F">
        <w:rPr>
          <w:rFonts w:ascii="David" w:hAnsi="David" w:cs="David"/>
          <w:sz w:val="24"/>
          <w:szCs w:val="24"/>
          <w:rtl/>
        </w:rPr>
        <w:t>המודל מניח שהילד מפתח יחסים ייחודיים עם אמו ואביו, כמו גם עם זוג ההורים, וכי מרחב היחסים עם כל אחד מהם הוא המקום המשמעותי והפורה ביותר להתערבות ויצירת שינוי.</w:t>
      </w:r>
    </w:p>
    <w:p w14:paraId="46F36760" w14:textId="35C3735C" w:rsidR="008A2511" w:rsidRPr="009A0655" w:rsidRDefault="006056FC" w:rsidP="008A251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בקורס</w:t>
      </w:r>
      <w:r w:rsidR="008A2511" w:rsidRPr="009A0655">
        <w:rPr>
          <w:rFonts w:ascii="David" w:hAnsi="David" w:cs="David"/>
          <w:sz w:val="24"/>
          <w:szCs w:val="24"/>
          <w:rtl/>
        </w:rPr>
        <w:t xml:space="preserve"> נתמקד בידע </w:t>
      </w:r>
      <w:r>
        <w:rPr>
          <w:rFonts w:ascii="David" w:hAnsi="David" w:cs="David"/>
          <w:sz w:val="24"/>
          <w:szCs w:val="24"/>
          <w:rtl/>
        </w:rPr>
        <w:t>המחקרי ובהבנות התאורטיות המרכזי</w:t>
      </w:r>
      <w:r w:rsidR="008A2511" w:rsidRPr="009A0655">
        <w:rPr>
          <w:rFonts w:ascii="David" w:hAnsi="David" w:cs="David"/>
          <w:sz w:val="24"/>
          <w:szCs w:val="24"/>
          <w:rtl/>
        </w:rPr>
        <w:t>ם המסבירים את מנגנוני השינוי, ההתפתחות והצמיחה המתרחשים בטיפול הורה-ילד: הפונקציה הרפלקטיבית, תהליך ההתקשרות, זיהוי והיכרות של דפוסי קשר חבויים</w:t>
      </w:r>
      <w:r w:rsidR="008A2511" w:rsidRPr="009A0655">
        <w:rPr>
          <w:rFonts w:ascii="David" w:hAnsi="David" w:cs="David"/>
          <w:sz w:val="24"/>
          <w:szCs w:val="24"/>
        </w:rPr>
        <w:t xml:space="preserve"> (implicit) </w:t>
      </w:r>
      <w:r w:rsidR="008A2511" w:rsidRPr="009A0655">
        <w:rPr>
          <w:rFonts w:ascii="David" w:hAnsi="David" w:cs="David"/>
          <w:sz w:val="24"/>
          <w:szCs w:val="24"/>
          <w:rtl/>
        </w:rPr>
        <w:t xml:space="preserve">סכמות ייצוגים של העצמי, האחר והיחסים ותהליכי הכרה הדדית ביחסים. הידע המוצג ילווה בדוגמאות קליניות. </w:t>
      </w:r>
    </w:p>
    <w:p w14:paraId="42461DDD" w14:textId="6A2706B9" w:rsidR="00E97C9F" w:rsidRDefault="006056FC" w:rsidP="00620B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הקורס</w:t>
      </w:r>
      <w:r w:rsidR="008A2511" w:rsidRPr="009A065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DE5271" w:rsidRPr="009A0655">
        <w:rPr>
          <w:rFonts w:ascii="David" w:hAnsi="David" w:cs="David" w:hint="cs"/>
          <w:sz w:val="24"/>
          <w:szCs w:val="24"/>
          <w:rtl/>
        </w:rPr>
        <w:t xml:space="preserve">אפשר </w:t>
      </w:r>
      <w:r w:rsidR="008A2511" w:rsidRPr="009A0655">
        <w:rPr>
          <w:rFonts w:ascii="David" w:hAnsi="David" w:cs="David"/>
          <w:sz w:val="24"/>
          <w:szCs w:val="24"/>
          <w:rtl/>
        </w:rPr>
        <w:t xml:space="preserve">ללומדים היכרות עם תפיסת העולם, הרציונל  והמושגים המרכזיים העומדים בבסיס הטיפול הורה-ילד, ע"פ המודל החיפאי.  </w:t>
      </w:r>
    </w:p>
    <w:p w14:paraId="7639D8DD" w14:textId="77777777" w:rsidR="00620B5B" w:rsidRPr="00620B5B" w:rsidRDefault="00620B5B" w:rsidP="00620B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3984787" w14:textId="2F03DD1B" w:rsidR="00A016FE" w:rsidRPr="009E140F" w:rsidRDefault="00A016FE" w:rsidP="00A016F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E140F">
        <w:rPr>
          <w:rFonts w:ascii="David" w:hAnsi="David" w:cs="David"/>
          <w:b/>
          <w:bCs/>
          <w:sz w:val="24"/>
          <w:szCs w:val="24"/>
          <w:rtl/>
        </w:rPr>
        <w:t>על המרצה:</w:t>
      </w:r>
    </w:p>
    <w:p w14:paraId="71481B9E" w14:textId="1F92608D" w:rsidR="006632F7" w:rsidRPr="00096367" w:rsidRDefault="00A016FE" w:rsidP="00620B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E140F">
        <w:rPr>
          <w:rFonts w:ascii="David" w:hAnsi="David" w:cs="David"/>
          <w:b/>
          <w:bCs/>
          <w:sz w:val="24"/>
          <w:szCs w:val="24"/>
          <w:rtl/>
        </w:rPr>
        <w:t>קרן גולדברג -</w:t>
      </w:r>
      <w:r w:rsidRPr="009E140F">
        <w:rPr>
          <w:rFonts w:ascii="David" w:hAnsi="David" w:cs="David"/>
          <w:sz w:val="24"/>
          <w:szCs w:val="24"/>
          <w:rtl/>
        </w:rPr>
        <w:t xml:space="preserve"> פסיכולוגית התפתחותית מומחית. עבדה שנים רבות בשרות הפסיכולוגי חינוכי- התפתחותי בהרצליה וניהלה את תכנית "חוסן לגיל הרך" במרכז "חוסן". מומחית  בטיפול דיאדי ובטיפול בטראומה בגיל הרך. מרצה, מלמדת ומדריכה במגוון מסגרות טיפוליות ובמכון "חרוב".  בעלת קליניקה פרטית בתל אביב.</w:t>
      </w:r>
      <w:r w:rsidR="00CD6D1C" w:rsidRPr="009E140F">
        <w:rPr>
          <w:rFonts w:ascii="David" w:hAnsi="David" w:cs="David"/>
          <w:sz w:val="24"/>
          <w:szCs w:val="24"/>
          <w:rtl/>
        </w:rPr>
        <w:t xml:space="preserve">         </w:t>
      </w:r>
      <w:r w:rsidR="00096367">
        <w:rPr>
          <w:rFonts w:ascii="David" w:hAnsi="David" w:cs="David"/>
          <w:sz w:val="24"/>
          <w:szCs w:val="24"/>
          <w:rtl/>
        </w:rPr>
        <w:t xml:space="preserve">                 </w:t>
      </w:r>
    </w:p>
    <w:p w14:paraId="788B939E" w14:textId="77777777" w:rsidR="00620B5B" w:rsidRDefault="00620B5B" w:rsidP="00CD6D1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442AC26" w14:textId="77777777" w:rsidR="00620B5B" w:rsidRDefault="00620B5B" w:rsidP="00CD6D1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54F34C78" w14:textId="77777777" w:rsidR="00620B5B" w:rsidRDefault="00620B5B" w:rsidP="00CD6D1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FE3578F" w14:textId="77777777" w:rsidR="00620B5B" w:rsidRDefault="00620B5B" w:rsidP="00CD6D1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6E8783B" w14:textId="14C976E8" w:rsidR="00CD6D1C" w:rsidRPr="009E140F" w:rsidRDefault="00CD6D1C" w:rsidP="00CD6D1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E140F">
        <w:rPr>
          <w:rFonts w:ascii="David" w:hAnsi="David" w:cs="David"/>
          <w:b/>
          <w:bCs/>
          <w:sz w:val="24"/>
          <w:szCs w:val="24"/>
          <w:rtl/>
        </w:rPr>
        <w:lastRenderedPageBreak/>
        <w:t>תכנית הקורס:</w:t>
      </w:r>
    </w:p>
    <w:tbl>
      <w:tblPr>
        <w:tblStyle w:val="a3"/>
        <w:bidiVisual/>
        <w:tblW w:w="8709" w:type="dxa"/>
        <w:tblLook w:val="04A0" w:firstRow="1" w:lastRow="0" w:firstColumn="1" w:lastColumn="0" w:noHBand="0" w:noVBand="1"/>
      </w:tblPr>
      <w:tblGrid>
        <w:gridCol w:w="1397"/>
        <w:gridCol w:w="3236"/>
        <w:gridCol w:w="4076"/>
      </w:tblGrid>
      <w:tr w:rsidR="00CD6D1C" w:rsidRPr="009E140F" w14:paraId="502685CD" w14:textId="77777777" w:rsidTr="00DE2668">
        <w:trPr>
          <w:trHeight w:val="727"/>
        </w:trPr>
        <w:tc>
          <w:tcPr>
            <w:tcW w:w="1397" w:type="dxa"/>
          </w:tcPr>
          <w:p w14:paraId="0F594D9F" w14:textId="77777777" w:rsidR="00CD6D1C" w:rsidRPr="009E140F" w:rsidRDefault="00CD6D1C" w:rsidP="00B037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3236" w:type="dxa"/>
          </w:tcPr>
          <w:p w14:paraId="70038C99" w14:textId="77777777" w:rsidR="00CD6D1C" w:rsidRPr="009E140F" w:rsidRDefault="00CD6D1C" w:rsidP="00B037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4076" w:type="dxa"/>
          </w:tcPr>
          <w:p w14:paraId="5335C07E" w14:textId="77777777" w:rsidR="00CD6D1C" w:rsidRPr="009E140F" w:rsidRDefault="00CD6D1C" w:rsidP="00B037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</w:tr>
      <w:tr w:rsidR="00CD6D1C" w:rsidRPr="009E140F" w14:paraId="1A13A686" w14:textId="77777777" w:rsidTr="003608DA">
        <w:trPr>
          <w:trHeight w:val="2148"/>
        </w:trPr>
        <w:tc>
          <w:tcPr>
            <w:tcW w:w="1397" w:type="dxa"/>
          </w:tcPr>
          <w:p w14:paraId="70E7F61E" w14:textId="5F466769" w:rsidR="00CD6D1C" w:rsidRPr="009E140F" w:rsidRDefault="00DE5271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</w:t>
            </w:r>
            <w:r w:rsidR="00CD6D1C" w:rsidRPr="009E140F">
              <w:rPr>
                <w:rFonts w:ascii="David" w:hAnsi="David" w:cs="David"/>
                <w:sz w:val="24"/>
                <w:szCs w:val="24"/>
                <w:rtl/>
              </w:rPr>
              <w:t xml:space="preserve"> ראשון</w:t>
            </w:r>
            <w:r w:rsidR="006632F7">
              <w:rPr>
                <w:rFonts w:ascii="David" w:hAnsi="David" w:cs="David" w:hint="cs"/>
                <w:sz w:val="24"/>
                <w:szCs w:val="24"/>
                <w:rtl/>
              </w:rPr>
              <w:t xml:space="preserve">-שני </w:t>
            </w:r>
          </w:p>
          <w:p w14:paraId="0DD9C547" w14:textId="77777777" w:rsidR="00CD6D1C" w:rsidRPr="009E140F" w:rsidRDefault="00CD6D1C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14:paraId="7671E951" w14:textId="59ECE345" w:rsidR="00CD6D1C" w:rsidRPr="009E140F" w:rsidRDefault="00C46EE4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תפיסת התפתחות ה</w:t>
            </w:r>
            <w:r w:rsidR="00DE2668" w:rsidRPr="009E140F">
              <w:rPr>
                <w:rFonts w:ascii="David" w:hAnsi="David" w:cs="David"/>
                <w:sz w:val="24"/>
                <w:szCs w:val="24"/>
                <w:rtl/>
              </w:rPr>
              <w:t>עצמי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בהקשר היחסים הדיאדיים </w:t>
            </w:r>
          </w:p>
        </w:tc>
        <w:tc>
          <w:tcPr>
            <w:tcW w:w="4076" w:type="dxa"/>
          </w:tcPr>
          <w:p w14:paraId="5250C635" w14:textId="584167AA" w:rsidR="00CD6D1C" w:rsidRPr="009E140F" w:rsidRDefault="00C46EE4" w:rsidP="00F4525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נלמד על תפיסת</w:t>
            </w:r>
            <w:r w:rsidR="006056F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התפתחות </w:t>
            </w:r>
            <w:r w:rsidR="006E2BE2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העצמי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>כחלק ממטריצה דיאדית, כפי שמשתקפת במחקרים ותצפיות</w:t>
            </w:r>
            <w:r w:rsidR="007A4AFF" w:rsidRPr="009E140F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וע"פ </w:t>
            </w:r>
            <w:r w:rsidR="00787836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המשגות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9E140F">
              <w:rPr>
                <w:rFonts w:ascii="David" w:hAnsi="David" w:cs="David"/>
                <w:sz w:val="24"/>
                <w:szCs w:val="24"/>
                <w:rtl/>
              </w:rPr>
              <w:t>אינטרסוביקטיביות</w:t>
            </w:r>
            <w:proofErr w:type="spellEnd"/>
            <w:r w:rsidRPr="009E140F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0B10AEEE" w14:textId="79A19CB0" w:rsidR="00DE2668" w:rsidRPr="009E140F" w:rsidRDefault="00DE2668" w:rsidP="00F4525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נבין כיצד המשגות אלה מסייעות בהבנה וטיפוח של יחסים דיאדיים</w:t>
            </w:r>
            <w:r w:rsidR="00DD5ADB" w:rsidRPr="009E140F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CD6D1C" w:rsidRPr="009E140F" w14:paraId="709764E1" w14:textId="77777777" w:rsidTr="000C4F11">
        <w:trPr>
          <w:trHeight w:val="1661"/>
        </w:trPr>
        <w:tc>
          <w:tcPr>
            <w:tcW w:w="1397" w:type="dxa"/>
          </w:tcPr>
          <w:p w14:paraId="7EE80FC8" w14:textId="55662550" w:rsidR="00CD6D1C" w:rsidRPr="009E140F" w:rsidRDefault="00DE5271" w:rsidP="006632F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</w:t>
            </w:r>
            <w:r w:rsidR="006632F7">
              <w:rPr>
                <w:rFonts w:ascii="David" w:hAnsi="David" w:cs="David" w:hint="cs"/>
                <w:sz w:val="24"/>
                <w:szCs w:val="24"/>
                <w:rtl/>
              </w:rPr>
              <w:t>שלישי- רביעי</w:t>
            </w:r>
          </w:p>
          <w:p w14:paraId="27B27933" w14:textId="77777777" w:rsidR="00CD6D1C" w:rsidRPr="009E140F" w:rsidRDefault="00CD6D1C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14:paraId="35EED6B0" w14:textId="77777777" w:rsidR="00CD6D1C" w:rsidRPr="009E140F" w:rsidRDefault="00787836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קידום </w:t>
            </w:r>
            <w:r w:rsidR="00DE2668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והגברת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>תהליכים רפלקטיביים ביחסים דיאדיים</w:t>
            </w:r>
            <w:r w:rsidR="00DE2668"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4E051A7" w14:textId="251B1761" w:rsidR="00810A09" w:rsidRPr="009E140F" w:rsidRDefault="00810A09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אופן מרכזי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>ל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יצירת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שינוי </w:t>
            </w:r>
          </w:p>
        </w:tc>
        <w:tc>
          <w:tcPr>
            <w:tcW w:w="4076" w:type="dxa"/>
          </w:tcPr>
          <w:p w14:paraId="2CA92905" w14:textId="50451852" w:rsidR="00CD6D1C" w:rsidRPr="009E140F" w:rsidRDefault="00DD5ADB" w:rsidP="00B0377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נעמיק ב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הבנת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>מנגנון שינוי מרכזי ב</w:t>
            </w:r>
            <w:r w:rsidR="00295AB6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הצמחת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יחסים הדיאדיים 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>היכולת הרפלקטיבית. נתעמק בהשפעת עיכוב הרפלקטיביות על יחסי הורה-ילד, ו</w:t>
            </w:r>
            <w:r w:rsidR="006E2BE2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כיצד </w:t>
            </w:r>
            <w:r w:rsidR="00295AB6" w:rsidRPr="009E140F">
              <w:rPr>
                <w:rFonts w:ascii="David" w:hAnsi="David" w:cs="David"/>
                <w:sz w:val="24"/>
                <w:szCs w:val="24"/>
                <w:rtl/>
              </w:rPr>
              <w:t>ניתן לקדם ולטפח  זאת בטיפול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CD6D1C" w:rsidRPr="009E140F" w14:paraId="5D669A92" w14:textId="77777777" w:rsidTr="00DE2668">
        <w:trPr>
          <w:trHeight w:val="2024"/>
        </w:trPr>
        <w:tc>
          <w:tcPr>
            <w:tcW w:w="1397" w:type="dxa"/>
          </w:tcPr>
          <w:p w14:paraId="7B05F130" w14:textId="3332A977" w:rsidR="00CD6D1C" w:rsidRPr="009E140F" w:rsidRDefault="00DE5271" w:rsidP="006632F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</w:t>
            </w:r>
            <w:r w:rsidR="006632F7">
              <w:rPr>
                <w:rFonts w:ascii="David" w:hAnsi="David" w:cs="David" w:hint="cs"/>
                <w:sz w:val="24"/>
                <w:szCs w:val="24"/>
                <w:rtl/>
              </w:rPr>
              <w:t>חמישי</w:t>
            </w:r>
          </w:p>
        </w:tc>
        <w:tc>
          <w:tcPr>
            <w:tcW w:w="3236" w:type="dxa"/>
          </w:tcPr>
          <w:p w14:paraId="2E02BC8B" w14:textId="059DF322" w:rsidR="00CD6D1C" w:rsidRPr="009E140F" w:rsidRDefault="00C46EE4" w:rsidP="00B0377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הכרה והרס כמתווה של </w:t>
            </w:r>
            <w:proofErr w:type="spellStart"/>
            <w:r w:rsidRPr="009E140F">
              <w:rPr>
                <w:rFonts w:ascii="David" w:hAnsi="David" w:cs="David"/>
                <w:sz w:val="24"/>
                <w:szCs w:val="24"/>
                <w:rtl/>
              </w:rPr>
              <w:t>אינטרסובייקטיביות</w:t>
            </w:r>
            <w:proofErr w:type="spellEnd"/>
          </w:p>
        </w:tc>
        <w:tc>
          <w:tcPr>
            <w:tcW w:w="4076" w:type="dxa"/>
          </w:tcPr>
          <w:p w14:paraId="3A07EEF2" w14:textId="60C40AF3" w:rsidR="00CD6D1C" w:rsidRPr="009E140F" w:rsidRDefault="00787836" w:rsidP="00B0377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נתמקד בתפיסתה של ג'סיקה בנג'מין את מהלך ההכרה וההרס ההדדיים, כמעצב את התפתחות העצמי בדיאדה. </w:t>
            </w:r>
            <w:r w:rsidR="007C19F4" w:rsidRPr="009E140F">
              <w:rPr>
                <w:rFonts w:ascii="David" w:hAnsi="David" w:cs="David"/>
                <w:sz w:val="24"/>
                <w:szCs w:val="24"/>
                <w:rtl/>
              </w:rPr>
              <w:t>נ</w:t>
            </w:r>
            <w:r w:rsidR="00295AB6" w:rsidRPr="009E140F">
              <w:rPr>
                <w:rFonts w:ascii="David" w:hAnsi="David" w:cs="David"/>
                <w:sz w:val="24"/>
                <w:szCs w:val="24"/>
                <w:rtl/>
              </w:rPr>
              <w:t>למד את שיבושי הקשר הור</w:t>
            </w:r>
            <w:r w:rsidR="00350708" w:rsidRPr="009E140F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="00295AB6" w:rsidRPr="009E140F">
              <w:rPr>
                <w:rFonts w:ascii="David" w:hAnsi="David" w:cs="David"/>
                <w:sz w:val="24"/>
                <w:szCs w:val="24"/>
                <w:rtl/>
              </w:rPr>
              <w:t>-ילד ע"פ המשגת ההכרה ההדדית</w:t>
            </w:r>
            <w:r w:rsidR="00350708" w:rsidRPr="009E140F">
              <w:rPr>
                <w:rFonts w:ascii="David" w:hAnsi="David" w:cs="David"/>
                <w:sz w:val="24"/>
                <w:szCs w:val="24"/>
                <w:rtl/>
              </w:rPr>
              <w:t>.</w:t>
            </w:r>
            <w:r w:rsidR="00295AB6"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CD6D1C" w:rsidRPr="009E140F" w14:paraId="725224D7" w14:textId="77777777" w:rsidTr="00DE2668">
        <w:trPr>
          <w:trHeight w:val="2507"/>
        </w:trPr>
        <w:tc>
          <w:tcPr>
            <w:tcW w:w="1397" w:type="dxa"/>
          </w:tcPr>
          <w:p w14:paraId="4444B904" w14:textId="2FF213CC" w:rsidR="00CD6D1C" w:rsidRPr="009E140F" w:rsidRDefault="00DE5271" w:rsidP="006632F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</w:t>
            </w:r>
            <w:r w:rsidR="00CD6D1C"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2F7">
              <w:rPr>
                <w:rFonts w:ascii="David" w:hAnsi="David" w:cs="David" w:hint="cs"/>
                <w:sz w:val="24"/>
                <w:szCs w:val="24"/>
                <w:rtl/>
              </w:rPr>
              <w:t>שישי</w:t>
            </w:r>
          </w:p>
        </w:tc>
        <w:tc>
          <w:tcPr>
            <w:tcW w:w="3236" w:type="dxa"/>
          </w:tcPr>
          <w:p w14:paraId="1B7AB076" w14:textId="5F0C5330" w:rsidR="00CD6D1C" w:rsidRPr="009E140F" w:rsidRDefault="00787836" w:rsidP="009A06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הערכה והיכרות עם  דפוסי קשר הורה-</w:t>
            </w:r>
            <w:r w:rsidR="009A0655">
              <w:rPr>
                <w:rFonts w:ascii="David" w:hAnsi="David" w:cs="David" w:hint="cs"/>
                <w:sz w:val="24"/>
                <w:szCs w:val="24"/>
                <w:rtl/>
              </w:rPr>
              <w:t>תינוק</w:t>
            </w:r>
          </w:p>
        </w:tc>
        <w:tc>
          <w:tcPr>
            <w:tcW w:w="4076" w:type="dxa"/>
          </w:tcPr>
          <w:p w14:paraId="4CD068D2" w14:textId="040BBA46" w:rsidR="00350708" w:rsidRPr="009E140F" w:rsidRDefault="00350708" w:rsidP="00B0377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E140F">
              <w:rPr>
                <w:rFonts w:ascii="David" w:hAnsi="David" w:cs="David"/>
                <w:sz w:val="24"/>
                <w:szCs w:val="24"/>
                <w:rtl/>
              </w:rPr>
              <w:t>נלמד כיצד להתבונן ולהעריך אספקטים שונים ביחסי ההורה והילד,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3FBF" w:rsidRPr="009E140F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 xml:space="preserve">להבחין 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2277A" w:rsidRPr="009E140F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Pr="009E140F">
              <w:rPr>
                <w:rFonts w:ascii="David" w:hAnsi="David" w:cs="David"/>
                <w:sz w:val="24"/>
                <w:szCs w:val="24"/>
                <w:rtl/>
              </w:rPr>
              <w:t xml:space="preserve">חוזקות וחולשות בהתבסס על ההבנות וההמשגות שנלמדו. נבין כיצד ההערכה של אפיוני הקשר מכוונת את התווית מוקדי ומטרות הטיפול. </w:t>
            </w:r>
          </w:p>
        </w:tc>
      </w:tr>
    </w:tbl>
    <w:p w14:paraId="75ABBEC8" w14:textId="77777777" w:rsidR="00A016FE" w:rsidRPr="009E140F" w:rsidRDefault="00A016FE" w:rsidP="00CD6D1C">
      <w:pPr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6681162" w14:textId="50F5D51D" w:rsidR="00CD6D1C" w:rsidRPr="00620B5B" w:rsidRDefault="00CD6D1C" w:rsidP="006632F7">
      <w:pPr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620B5B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רשימת הקריאה</w:t>
      </w:r>
      <w:r w:rsidRPr="00620B5B">
        <w:rPr>
          <w:rFonts w:ascii="David" w:eastAsia="Times New Roman" w:hAnsi="David" w:cs="David" w:hint="cs"/>
          <w:sz w:val="24"/>
          <w:szCs w:val="24"/>
          <w:u w:val="single"/>
          <w:rtl/>
        </w:rPr>
        <w:t>:</w:t>
      </w:r>
    </w:p>
    <w:p w14:paraId="01FD9088" w14:textId="2D549B24" w:rsidR="00F43FBF" w:rsidRPr="00620B5B" w:rsidRDefault="00F43FBF" w:rsidP="00DD6BEB">
      <w:pPr>
        <w:pStyle w:val="a4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eastAsia="Times New Roman" w:hAnsi="David" w:cs="David" w:hint="cs"/>
          <w:sz w:val="24"/>
          <w:szCs w:val="24"/>
          <w:rtl/>
        </w:rPr>
        <w:t>טיפול</w:t>
      </w:r>
      <w:r w:rsidR="006632F7" w:rsidRPr="00620B5B">
        <w:rPr>
          <w:rFonts w:ascii="David" w:eastAsia="Times New Roman" w:hAnsi="David" w:cs="David" w:hint="cs"/>
          <w:sz w:val="24"/>
          <w:szCs w:val="24"/>
          <w:rtl/>
        </w:rPr>
        <w:t xml:space="preserve"> הדיאדי (אוניברסיטת חיפה) – פרקים 1-4.</w:t>
      </w:r>
    </w:p>
    <w:p w14:paraId="2D2BAB82" w14:textId="77777777" w:rsidR="00DD6BEB" w:rsidRPr="00620B5B" w:rsidRDefault="00DD6BEB" w:rsidP="00DD6BEB">
      <w:pPr>
        <w:pStyle w:val="a4"/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14:paraId="4E4CE881" w14:textId="4960E203" w:rsidR="00DD6BEB" w:rsidRPr="00620B5B" w:rsidRDefault="00F43FBF" w:rsidP="00DD6BEB">
      <w:pPr>
        <w:pStyle w:val="a4"/>
        <w:numPr>
          <w:ilvl w:val="0"/>
          <w:numId w:val="2"/>
        </w:numPr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פסיכואנליזה </w:t>
      </w:r>
      <w:proofErr w:type="spellStart"/>
      <w:r w:rsidRPr="00620B5B">
        <w:rPr>
          <w:rFonts w:ascii="David" w:eastAsia="Times New Roman" w:hAnsi="David" w:cs="David" w:hint="cs"/>
          <w:sz w:val="24"/>
          <w:szCs w:val="24"/>
          <w:rtl/>
        </w:rPr>
        <w:t>התייחסותית</w:t>
      </w:r>
      <w:proofErr w:type="spellEnd"/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 (עורכים: סטיבן מיטשל ולואיס ארון)</w:t>
      </w:r>
    </w:p>
    <w:p w14:paraId="1E0F34A0" w14:textId="39F3A038" w:rsidR="00F43FBF" w:rsidRPr="00620B5B" w:rsidRDefault="006632F7" w:rsidP="006632F7">
      <w:pPr>
        <w:pStyle w:val="a4"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הכרה והרס כמתווה של </w:t>
      </w:r>
      <w:proofErr w:type="spellStart"/>
      <w:r w:rsidRPr="00620B5B">
        <w:rPr>
          <w:rFonts w:ascii="David" w:eastAsia="Times New Roman" w:hAnsi="David" w:cs="David" w:hint="cs"/>
          <w:sz w:val="24"/>
          <w:szCs w:val="24"/>
          <w:rtl/>
        </w:rPr>
        <w:t>אינטרסובייקטיביות</w:t>
      </w:r>
      <w:proofErr w:type="spellEnd"/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F43FBF" w:rsidRPr="00620B5B">
        <w:rPr>
          <w:rFonts w:ascii="David" w:eastAsia="Times New Roman" w:hAnsi="David" w:cs="David" w:hint="cs"/>
          <w:sz w:val="24"/>
          <w:szCs w:val="24"/>
          <w:rtl/>
        </w:rPr>
        <w:t>- ע"מ 228</w:t>
      </w:r>
      <w:r w:rsidR="00DD6BEB" w:rsidRPr="00620B5B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0EE5D2D9" w14:textId="77777777" w:rsidR="00DD6BEB" w:rsidRPr="00620B5B" w:rsidRDefault="00DD6BEB" w:rsidP="006632F7">
      <w:pPr>
        <w:pStyle w:val="a4"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07B032FF" w14:textId="3018DCA8" w:rsidR="00DD6BEB" w:rsidRPr="00620B5B" w:rsidRDefault="00DD6BEB" w:rsidP="00DD6BEB">
      <w:pPr>
        <w:pStyle w:val="a4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הטיפול הדיאדי, מחשבות מחדר הטיפול- הערכה דיאדית רב </w:t>
      </w:r>
      <w:proofErr w:type="spellStart"/>
      <w:r w:rsidRPr="00620B5B">
        <w:rPr>
          <w:rFonts w:ascii="David" w:eastAsia="Times New Roman" w:hAnsi="David" w:cs="David" w:hint="cs"/>
          <w:sz w:val="24"/>
          <w:szCs w:val="24"/>
          <w:rtl/>
        </w:rPr>
        <w:t>מימדית</w:t>
      </w:r>
      <w:proofErr w:type="spellEnd"/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 -ע"מ 21.</w:t>
      </w:r>
    </w:p>
    <w:p w14:paraId="44D5EDDA" w14:textId="77777777" w:rsidR="00C26C48" w:rsidRPr="00620B5B" w:rsidRDefault="00C26C48" w:rsidP="00C26C48">
      <w:pPr>
        <w:pStyle w:val="a4"/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14:paraId="3772C49E" w14:textId="32BFD959" w:rsidR="006632F7" w:rsidRPr="00620B5B" w:rsidRDefault="00C26C48" w:rsidP="00C26C48">
      <w:pPr>
        <w:pStyle w:val="a4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ידיעה </w:t>
      </w:r>
      <w:proofErr w:type="spellStart"/>
      <w:r w:rsidRPr="00620B5B">
        <w:rPr>
          <w:rFonts w:ascii="David" w:eastAsia="Times New Roman" w:hAnsi="David" w:cs="David" w:hint="cs"/>
          <w:sz w:val="24"/>
          <w:szCs w:val="24"/>
          <w:rtl/>
        </w:rPr>
        <w:t>התייחסותית</w:t>
      </w:r>
      <w:proofErr w:type="spellEnd"/>
      <w:r w:rsidRPr="00620B5B">
        <w:rPr>
          <w:rFonts w:ascii="David" w:eastAsia="Times New Roman" w:hAnsi="David" w:cs="David" w:hint="cs"/>
          <w:sz w:val="24"/>
          <w:szCs w:val="24"/>
          <w:rtl/>
        </w:rPr>
        <w:t xml:space="preserve"> חבויה</w:t>
      </w:r>
      <w:r w:rsidRPr="00620B5B">
        <w:rPr>
          <w:rFonts w:ascii="David" w:eastAsia="Times New Roman" w:hAnsi="David" w:cs="David" w:hint="cs"/>
          <w:sz w:val="24"/>
          <w:szCs w:val="24"/>
        </w:rPr>
        <w:t xml:space="preserve">: </w:t>
      </w:r>
      <w:r w:rsidRPr="00620B5B">
        <w:rPr>
          <w:rFonts w:ascii="David" w:eastAsia="Times New Roman" w:hAnsi="David" w:cs="David" w:hint="cs"/>
          <w:sz w:val="24"/>
          <w:szCs w:val="24"/>
          <w:rtl/>
        </w:rPr>
        <w:t>תפקידה בהתפתחות ובטיפול הפסיכואנליטי</w:t>
      </w:r>
      <w:r w:rsidRPr="00620B5B">
        <w:rPr>
          <w:rFonts w:ascii="David" w:eastAsia="Times New Roman" w:hAnsi="David" w:cs="David" w:hint="cs"/>
          <w:sz w:val="24"/>
          <w:szCs w:val="24"/>
        </w:rPr>
        <w:t>.</w:t>
      </w:r>
    </w:p>
    <w:p w14:paraId="355A2B06" w14:textId="77777777" w:rsidR="00C26C48" w:rsidRPr="00620B5B" w:rsidRDefault="00C26C48" w:rsidP="00C26C48">
      <w:pPr>
        <w:pStyle w:val="a4"/>
        <w:rPr>
          <w:rFonts w:ascii="David" w:eastAsia="Times New Roman" w:hAnsi="David" w:cs="David"/>
          <w:sz w:val="24"/>
          <w:szCs w:val="24"/>
          <w:rtl/>
        </w:rPr>
      </w:pPr>
    </w:p>
    <w:p w14:paraId="0501E927" w14:textId="77777777" w:rsidR="00C26C48" w:rsidRPr="00620B5B" w:rsidRDefault="00C26C48" w:rsidP="00C26C48">
      <w:pPr>
        <w:pStyle w:val="a4"/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14:paraId="7AD25338" w14:textId="064DF416" w:rsidR="007224DD" w:rsidRPr="00620B5B" w:rsidRDefault="007224DD" w:rsidP="007224DD">
      <w:pPr>
        <w:pStyle w:val="a4"/>
        <w:numPr>
          <w:ilvl w:val="0"/>
          <w:numId w:val="2"/>
        </w:numPr>
        <w:bidi w:val="0"/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Lyons</w:t>
      </w:r>
      <w:r w:rsidRPr="00620B5B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Ruth, K. (1999). The two</w:t>
      </w:r>
      <w:r w:rsidRPr="00620B5B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person unconscious: Intersubjective dialogue, enactive relational representation, and the emergence of new forms of relational organization. </w:t>
      </w:r>
      <w:r w:rsidRPr="00620B5B">
        <w:rPr>
          <w:rFonts w:ascii="David" w:hAnsi="David" w:cs="David" w:hint="cs"/>
          <w:i/>
          <w:iCs/>
          <w:color w:val="222222"/>
          <w:sz w:val="24"/>
          <w:szCs w:val="24"/>
          <w:shd w:val="clear" w:color="auto" w:fill="FFFFFF"/>
        </w:rPr>
        <w:t>Psychoanalytic Inquiry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, </w:t>
      </w:r>
      <w:r w:rsidRPr="00620B5B">
        <w:rPr>
          <w:rFonts w:ascii="David" w:hAnsi="David" w:cs="David" w:hint="cs"/>
          <w:i/>
          <w:iCs/>
          <w:color w:val="222222"/>
          <w:sz w:val="24"/>
          <w:szCs w:val="24"/>
          <w:shd w:val="clear" w:color="auto" w:fill="FFFFFF"/>
        </w:rPr>
        <w:t>19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(4), 576-617.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‏</w:t>
      </w:r>
    </w:p>
    <w:p w14:paraId="7799A3C4" w14:textId="5278F9B0" w:rsidR="007224DD" w:rsidRPr="00620B5B" w:rsidRDefault="007224DD" w:rsidP="007224DD">
      <w:pPr>
        <w:pStyle w:val="a4"/>
        <w:numPr>
          <w:ilvl w:val="0"/>
          <w:numId w:val="2"/>
        </w:numPr>
        <w:bidi w:val="0"/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620B5B">
        <w:rPr>
          <w:rFonts w:ascii="David" w:eastAsia="Times New Roman" w:hAnsi="David" w:cs="David" w:hint="cs"/>
          <w:sz w:val="24"/>
          <w:szCs w:val="24"/>
        </w:rPr>
        <w:t>Lyons</w:t>
      </w:r>
      <w:r w:rsidRPr="00620B5B">
        <w:rPr>
          <w:rFonts w:ascii="Cambria Math" w:eastAsia="Times New Roman" w:hAnsi="Cambria Math" w:cs="Cambria Math"/>
          <w:sz w:val="24"/>
          <w:szCs w:val="24"/>
        </w:rPr>
        <w:t>‐</w:t>
      </w:r>
      <w:r w:rsidRPr="00620B5B">
        <w:rPr>
          <w:rFonts w:ascii="David" w:eastAsia="Times New Roman" w:hAnsi="David" w:cs="David" w:hint="cs"/>
          <w:sz w:val="24"/>
          <w:szCs w:val="24"/>
        </w:rPr>
        <w:t>Ruth, K. (2000). “I sense that you sense that I sense…”: Sander's recognition process and the specificity of relational moves in the psychotherapeutic setting. Infant Mental Health Journal, 21(1</w:t>
      </w:r>
      <w:r w:rsidRPr="00620B5B">
        <w:rPr>
          <w:rFonts w:ascii="Cambria Math" w:eastAsia="Times New Roman" w:hAnsi="Cambria Math" w:cs="Cambria Math"/>
          <w:sz w:val="24"/>
          <w:szCs w:val="24"/>
        </w:rPr>
        <w:t>‐</w:t>
      </w:r>
      <w:r w:rsidRPr="00620B5B">
        <w:rPr>
          <w:rFonts w:ascii="David" w:eastAsia="Times New Roman" w:hAnsi="David" w:cs="David" w:hint="cs"/>
          <w:sz w:val="24"/>
          <w:szCs w:val="24"/>
        </w:rPr>
        <w:t>2), 85-98.</w:t>
      </w:r>
      <w:r w:rsidRPr="00620B5B">
        <w:rPr>
          <w:rFonts w:ascii="David" w:eastAsia="Times New Roman" w:hAnsi="David" w:cs="David" w:hint="cs"/>
          <w:sz w:val="24"/>
          <w:szCs w:val="24"/>
          <w:rtl/>
        </w:rPr>
        <w:t>‏</w:t>
      </w:r>
    </w:p>
    <w:p w14:paraId="33D37620" w14:textId="23B89803" w:rsidR="007224DD" w:rsidRPr="00620B5B" w:rsidRDefault="007224DD" w:rsidP="007224DD">
      <w:pPr>
        <w:pStyle w:val="a4"/>
        <w:numPr>
          <w:ilvl w:val="0"/>
          <w:numId w:val="2"/>
        </w:numPr>
        <w:bidi w:val="0"/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proofErr w:type="spellStart"/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Tronick</w:t>
      </w:r>
      <w:proofErr w:type="spellEnd"/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 xml:space="preserve">, E. Z., </w:t>
      </w:r>
      <w:proofErr w:type="spellStart"/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Bruschweiler</w:t>
      </w:r>
      <w:proofErr w:type="spellEnd"/>
      <w:r w:rsidRPr="00620B5B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Stern, N., Harrison, A. M., Lyons</w:t>
      </w:r>
      <w:r w:rsidRPr="00620B5B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Ruth, K., Morgan, A. C., Nahum, J. P., ... &amp; Stern, D. N. (1998). Dyadically expanded states of consciousness and the process of therapeutic change. </w:t>
      </w:r>
      <w:r w:rsidRPr="00620B5B">
        <w:rPr>
          <w:rFonts w:ascii="David" w:hAnsi="David" w:cs="David" w:hint="cs"/>
          <w:i/>
          <w:iCs/>
          <w:color w:val="222222"/>
          <w:sz w:val="24"/>
          <w:szCs w:val="24"/>
          <w:shd w:val="clear" w:color="auto" w:fill="FFFFFF"/>
        </w:rPr>
        <w:t>Infant Mental Health Journal: Official Publication of The World Association for Infant Mental Health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, </w:t>
      </w:r>
      <w:r w:rsidRPr="00620B5B">
        <w:rPr>
          <w:rFonts w:ascii="David" w:hAnsi="David" w:cs="David" w:hint="cs"/>
          <w:i/>
          <w:iCs/>
          <w:color w:val="222222"/>
          <w:sz w:val="24"/>
          <w:szCs w:val="24"/>
          <w:shd w:val="clear" w:color="auto" w:fill="FFFFFF"/>
        </w:rPr>
        <w:t>19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</w:rPr>
        <w:t>(3), 290-299.</w:t>
      </w:r>
      <w:r w:rsidRPr="00620B5B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‏</w:t>
      </w:r>
    </w:p>
    <w:p w14:paraId="7BAC61DC" w14:textId="3AC6A088" w:rsidR="007224DD" w:rsidRPr="00620B5B" w:rsidRDefault="007224DD" w:rsidP="007224DD">
      <w:pPr>
        <w:pStyle w:val="a4"/>
        <w:numPr>
          <w:ilvl w:val="0"/>
          <w:numId w:val="2"/>
        </w:numPr>
        <w:bidi w:val="0"/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proofErr w:type="spellStart"/>
      <w:r w:rsidRPr="00620B5B">
        <w:rPr>
          <w:rFonts w:ascii="David" w:eastAsia="Times New Roman" w:hAnsi="David" w:cs="David" w:hint="cs"/>
          <w:sz w:val="24"/>
          <w:szCs w:val="24"/>
        </w:rPr>
        <w:t>Bruschweiler</w:t>
      </w:r>
      <w:proofErr w:type="spellEnd"/>
      <w:r w:rsidRPr="00620B5B">
        <w:rPr>
          <w:rFonts w:ascii="David" w:eastAsia="Times New Roman" w:hAnsi="David" w:cs="David" w:hint="cs"/>
          <w:sz w:val="24"/>
          <w:szCs w:val="24"/>
        </w:rPr>
        <w:t>-Stern, N., Lyons-Ruth, K., Morgan, A. C., &amp; Nahum, J. P. (2007). The foundational level of psychodynamic meaning: Implicit process in relation to conflict, defense and the dynamic unconscious. International Journal of Psychoanalysis, 88, 843.</w:t>
      </w:r>
      <w:r w:rsidRPr="00620B5B">
        <w:rPr>
          <w:rFonts w:ascii="David" w:eastAsia="Times New Roman" w:hAnsi="David" w:cs="David" w:hint="cs"/>
          <w:sz w:val="24"/>
          <w:szCs w:val="24"/>
          <w:rtl/>
        </w:rPr>
        <w:t>‏</w:t>
      </w:r>
    </w:p>
    <w:p w14:paraId="39F2B51C" w14:textId="77777777" w:rsidR="00E111C4" w:rsidRPr="00620B5B" w:rsidRDefault="00E111C4" w:rsidP="00E111C4">
      <w:pPr>
        <w:spacing w:before="24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</w:p>
    <w:p w14:paraId="22F26A20" w14:textId="77777777" w:rsidR="006A3F05" w:rsidRPr="00620B5B" w:rsidRDefault="006A3F05">
      <w:pPr>
        <w:rPr>
          <w:rFonts w:ascii="David" w:hAnsi="David" w:cs="David"/>
          <w:sz w:val="24"/>
          <w:szCs w:val="24"/>
        </w:rPr>
      </w:pPr>
    </w:p>
    <w:sectPr w:rsidR="006A3F05" w:rsidRPr="00620B5B" w:rsidSect="00C23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64C9"/>
    <w:multiLevelType w:val="hybridMultilevel"/>
    <w:tmpl w:val="8E54A6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DA25A3"/>
    <w:multiLevelType w:val="hybridMultilevel"/>
    <w:tmpl w:val="2EB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C"/>
    <w:rsid w:val="00096367"/>
    <w:rsid w:val="000C4F11"/>
    <w:rsid w:val="00295AB6"/>
    <w:rsid w:val="0032277A"/>
    <w:rsid w:val="00350708"/>
    <w:rsid w:val="003608DA"/>
    <w:rsid w:val="003943DC"/>
    <w:rsid w:val="00541D33"/>
    <w:rsid w:val="006056FC"/>
    <w:rsid w:val="00620B5B"/>
    <w:rsid w:val="006632F7"/>
    <w:rsid w:val="006971B9"/>
    <w:rsid w:val="006A3F05"/>
    <w:rsid w:val="006E2A06"/>
    <w:rsid w:val="006E2BE2"/>
    <w:rsid w:val="007224DD"/>
    <w:rsid w:val="00787836"/>
    <w:rsid w:val="007A4AFF"/>
    <w:rsid w:val="007C0445"/>
    <w:rsid w:val="007C19F4"/>
    <w:rsid w:val="00810A09"/>
    <w:rsid w:val="008A2511"/>
    <w:rsid w:val="009A0655"/>
    <w:rsid w:val="009E140F"/>
    <w:rsid w:val="00A016FE"/>
    <w:rsid w:val="00C20C01"/>
    <w:rsid w:val="00C23C08"/>
    <w:rsid w:val="00C26C48"/>
    <w:rsid w:val="00C46EE4"/>
    <w:rsid w:val="00CD6D1C"/>
    <w:rsid w:val="00D730D6"/>
    <w:rsid w:val="00DD5ADB"/>
    <w:rsid w:val="00DD6BEB"/>
    <w:rsid w:val="00DE2668"/>
    <w:rsid w:val="00DE5271"/>
    <w:rsid w:val="00E111C4"/>
    <w:rsid w:val="00E325CB"/>
    <w:rsid w:val="00E65856"/>
    <w:rsid w:val="00E97C9F"/>
    <w:rsid w:val="00F16A35"/>
    <w:rsid w:val="00F43FBF"/>
    <w:rsid w:val="00F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3FB0"/>
  <w15:docId w15:val="{57C83DF3-3FAB-40D4-A4F3-8D56587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D1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6A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6A3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16A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6A3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16A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6A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16A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Laor</dc:creator>
  <cp:lastModifiedBy>Adi Laor</cp:lastModifiedBy>
  <cp:revision>4</cp:revision>
  <cp:lastPrinted>2020-09-16T16:40:00Z</cp:lastPrinted>
  <dcterms:created xsi:type="dcterms:W3CDTF">2021-09-05T06:40:00Z</dcterms:created>
  <dcterms:modified xsi:type="dcterms:W3CDTF">2021-11-07T12:01:00Z</dcterms:modified>
</cp:coreProperties>
</file>